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2"/>
          <w:szCs w:val="22"/>
        </w:rPr>
        <w:t>allegato 3.2 Tabella descrizione tecnica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</w:tabs>
        <w:spacing w:before="0" w:after="120"/>
        <w:ind w:left="0" w:hanging="0"/>
        <w:jc w:val="both"/>
        <w:rPr/>
      </w:pPr>
      <w:r>
        <w:rPr>
          <w:sz w:val="22"/>
          <w:szCs w:val="22"/>
        </w:rPr>
        <w:t>Fornitura di n. 1 microscopio operatorio per l’U.O.C. Oculistica del Presidio Ospedaliero di rete Bassano – Gara n. 2020-392-BAS - CIG 85901228EB.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Prodotto offerto:</w:t>
      </w:r>
    </w:p>
    <w:p>
      <w:pPr>
        <w:pStyle w:val="Normal"/>
        <w:rPr/>
      </w:pPr>
      <w:r>
        <w:rPr/>
        <w:t>Marca _______________________  Modello ________________________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color w:val="000000"/>
          <w:sz w:val="22"/>
          <w:szCs w:val="22"/>
        </w:rPr>
        <w:t>Il microscopio dovrà essere dotato d</w:t>
      </w:r>
      <w:r>
        <w:rPr>
          <w:sz w:val="22"/>
          <w:szCs w:val="22"/>
        </w:rPr>
        <w:t>elle seguenti caratteristiche tecniche di minima (obbligatorie):</w:t>
      </w:r>
    </w:p>
    <w:p>
      <w:pPr>
        <w:pStyle w:val="Normal"/>
        <w:rPr/>
      </w:pPr>
      <w:r>
        <w:rPr/>
      </w:r>
    </w:p>
    <w:tbl>
      <w:tblPr>
        <w:tblStyle w:val="Grigliatabella"/>
        <w:tblW w:w="8613" w:type="dxa"/>
        <w:jc w:val="left"/>
        <w:tblInd w:w="284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359"/>
        <w:gridCol w:w="4253"/>
      </w:tblGrid>
      <w:tr>
        <w:trPr/>
        <w:tc>
          <w:tcPr>
            <w:tcW w:w="4359" w:type="dxa"/>
            <w:tcBorders/>
            <w:shd w:fill="auto" w:val="clear"/>
          </w:tcPr>
          <w:p>
            <w:pPr>
              <w:pStyle w:val="Rientrocorpodeltesto21"/>
              <w:tabs>
                <w:tab w:val="clear" w:pos="-360"/>
                <w:tab w:val="left" w:pos="284" w:leader="none"/>
              </w:tabs>
              <w:ind w:hanging="0"/>
              <w:jc w:val="center"/>
              <w:rPr/>
            </w:pPr>
            <w:r>
              <w:rPr>
                <w:sz w:val="22"/>
                <w:szCs w:val="22"/>
              </w:rPr>
              <w:t>CARATTERISTICHE</w:t>
            </w:r>
          </w:p>
        </w:tc>
        <w:tc>
          <w:tcPr>
            <w:tcW w:w="4253" w:type="dxa"/>
            <w:tcBorders/>
            <w:shd w:fill="auto" w:val="clear"/>
          </w:tcPr>
          <w:p>
            <w:pPr>
              <w:pStyle w:val="Rientrocorpodeltesto21"/>
              <w:tabs>
                <w:tab w:val="clear" w:pos="-360"/>
                <w:tab w:val="left" w:pos="284" w:leader="none"/>
              </w:tabs>
              <w:ind w:lef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DESCRIZIONE</w:t>
            </w:r>
          </w:p>
        </w:tc>
      </w:tr>
      <w:tr>
        <w:trPr/>
        <w:tc>
          <w:tcPr>
            <w:tcW w:w="4359" w:type="dxa"/>
            <w:tcBorders/>
            <w:shd w:fill="auto" w:val="clear"/>
          </w:tcPr>
          <w:p>
            <w:pPr>
              <w:pStyle w:val="Rientrocorpodeltesto21"/>
              <w:numPr>
                <w:ilvl w:val="0"/>
                <w:numId w:val="0"/>
              </w:numPr>
              <w:overflowPunct w:val="false"/>
              <w:ind w:left="0" w:hanging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Microscopio con stativo a pavimento</w:t>
            </w:r>
          </w:p>
        </w:tc>
        <w:tc>
          <w:tcPr>
            <w:tcW w:w="4253" w:type="dxa"/>
            <w:tcBorders/>
            <w:shd w:fill="auto" w:val="clear"/>
          </w:tcPr>
          <w:p>
            <w:pPr>
              <w:pStyle w:val="Rientrocorpodeltesto21"/>
              <w:tabs>
                <w:tab w:val="clear" w:pos="-360"/>
                <w:tab w:val="left" w:pos="284" w:leader="none"/>
              </w:tabs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4359" w:type="dxa"/>
            <w:tcBorders/>
            <w:shd w:fill="auto" w:val="clear"/>
          </w:tcPr>
          <w:p>
            <w:pPr>
              <w:pStyle w:val="Rientrocorpodeltesto21"/>
              <w:numPr>
                <w:ilvl w:val="0"/>
                <w:numId w:val="0"/>
              </w:numPr>
              <w:overflowPunct w:val="false"/>
              <w:ind w:left="0" w:hanging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Mobile su ruote possibilmente di ridotta misura, dotato di un unico pedale per il blocco sblocco della movimentazione</w:t>
            </w:r>
          </w:p>
        </w:tc>
        <w:tc>
          <w:tcPr>
            <w:tcW w:w="4253" w:type="dxa"/>
            <w:tcBorders/>
            <w:shd w:fill="auto" w:val="clear"/>
          </w:tcPr>
          <w:p>
            <w:pPr>
              <w:pStyle w:val="Rientrocorpodeltesto21"/>
              <w:tabs>
                <w:tab w:val="clear" w:pos="-360"/>
                <w:tab w:val="left" w:pos="284" w:leader="none"/>
              </w:tabs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4359" w:type="dxa"/>
            <w:tcBorders/>
            <w:shd w:fill="auto" w:val="clear"/>
          </w:tcPr>
          <w:p>
            <w:pPr>
              <w:pStyle w:val="Rientrocorpodeltesto21"/>
              <w:numPr>
                <w:ilvl w:val="0"/>
                <w:numId w:val="0"/>
              </w:numPr>
              <w:overflowPunct w:val="false"/>
              <w:ind w:left="0" w:hanging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Secondo osservatore binoculare con stessa base stereoscopica e medesimo ingrandimento</w:t>
            </w:r>
          </w:p>
        </w:tc>
        <w:tc>
          <w:tcPr>
            <w:tcW w:w="4253" w:type="dxa"/>
            <w:tcBorders/>
            <w:shd w:fill="auto" w:val="clear"/>
          </w:tcPr>
          <w:p>
            <w:pPr>
              <w:pStyle w:val="Rientrocorpodeltesto21"/>
              <w:tabs>
                <w:tab w:val="clear" w:pos="-360"/>
                <w:tab w:val="left" w:pos="284" w:leader="none"/>
              </w:tabs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4359" w:type="dxa"/>
            <w:tcBorders/>
            <w:shd w:fill="auto" w:val="clear"/>
          </w:tcPr>
          <w:p>
            <w:pPr>
              <w:pStyle w:val="Rientrocorpodeltesto21"/>
              <w:numPr>
                <w:ilvl w:val="0"/>
                <w:numId w:val="0"/>
              </w:numPr>
              <w:overflowPunct w:val="false"/>
              <w:ind w:left="0" w:hanging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 Telecamera digitale full HD con monitor di almeno 22 pollici ad alta definizione full HD</w:t>
            </w:r>
          </w:p>
        </w:tc>
        <w:tc>
          <w:tcPr>
            <w:tcW w:w="4253" w:type="dxa"/>
            <w:tcBorders/>
            <w:shd w:fill="auto" w:val="clear"/>
          </w:tcPr>
          <w:p>
            <w:pPr>
              <w:pStyle w:val="Rientrocorpodeltesto21"/>
              <w:tabs>
                <w:tab w:val="clear" w:pos="-360"/>
                <w:tab w:val="left" w:pos="284" w:leader="none"/>
              </w:tabs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4359" w:type="dxa"/>
            <w:tcBorders/>
            <w:shd w:fill="auto" w:val="clear"/>
          </w:tcPr>
          <w:p>
            <w:pPr>
              <w:pStyle w:val="Rientrocorpodeltesto21"/>
              <w:numPr>
                <w:ilvl w:val="0"/>
                <w:numId w:val="0"/>
              </w:numPr>
              <w:overflowPunct w:val="false"/>
              <w:ind w:left="0" w:hanging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Presenza di dispositivo per la chirurgia vitreo retinica pan funduscopico che permetta almeno due interventi consecutivi, con messa a fuoco e invertitori elettrici</w:t>
            </w:r>
          </w:p>
        </w:tc>
        <w:tc>
          <w:tcPr>
            <w:tcW w:w="4253" w:type="dxa"/>
            <w:tcBorders/>
            <w:shd w:fill="auto" w:val="clear"/>
          </w:tcPr>
          <w:p>
            <w:pPr>
              <w:pStyle w:val="Rientrocorpodeltesto21"/>
              <w:tabs>
                <w:tab w:val="clear" w:pos="-360"/>
                <w:tab w:val="left" w:pos="284" w:leader="none"/>
              </w:tabs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4359" w:type="dxa"/>
            <w:tcBorders/>
            <w:shd w:fill="auto" w:val="clear"/>
          </w:tcPr>
          <w:p>
            <w:pPr>
              <w:pStyle w:val="Rientrocorpodeltesto21"/>
              <w:numPr>
                <w:ilvl w:val="0"/>
                <w:numId w:val="0"/>
              </w:numPr>
              <w:overflowPunct w:val="false"/>
              <w:ind w:left="0" w:hanging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 Gruppo ottico con ottica apocromatica, lampada a fessure e cheratoscopio</w:t>
            </w:r>
          </w:p>
        </w:tc>
        <w:tc>
          <w:tcPr>
            <w:tcW w:w="4253" w:type="dxa"/>
            <w:tcBorders/>
            <w:shd w:fill="auto" w:val="clear"/>
          </w:tcPr>
          <w:p>
            <w:pPr>
              <w:pStyle w:val="Rientrocorpodeltesto21"/>
              <w:tabs>
                <w:tab w:val="clear" w:pos="-360"/>
                <w:tab w:val="left" w:pos="284" w:leader="none"/>
              </w:tabs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4359" w:type="dxa"/>
            <w:tcBorders/>
            <w:shd w:fill="auto" w:val="clear"/>
          </w:tcPr>
          <w:p>
            <w:pPr>
              <w:pStyle w:val="Rientrocorpodeltesto21"/>
              <w:numPr>
                <w:ilvl w:val="0"/>
                <w:numId w:val="0"/>
              </w:numPr>
              <w:overflowPunct w:val="false"/>
              <w:ind w:left="0" w:hanging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 Possibilità di rotazione del sistema binoculare del secondo osservatore in maniera facile  e veloce</w:t>
            </w:r>
          </w:p>
        </w:tc>
        <w:tc>
          <w:tcPr>
            <w:tcW w:w="4253" w:type="dxa"/>
            <w:tcBorders/>
            <w:shd w:fill="auto" w:val="clear"/>
          </w:tcPr>
          <w:p>
            <w:pPr>
              <w:pStyle w:val="Rientrocorpodeltesto21"/>
              <w:tabs>
                <w:tab w:val="clear" w:pos="-360"/>
                <w:tab w:val="left" w:pos="284" w:leader="none"/>
              </w:tabs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4359" w:type="dxa"/>
            <w:tcBorders/>
            <w:shd w:fill="auto" w:val="clear"/>
          </w:tcPr>
          <w:p>
            <w:pPr>
              <w:pStyle w:val="Rientrocorpodeltesto21"/>
              <w:numPr>
                <w:ilvl w:val="0"/>
                <w:numId w:val="0"/>
              </w:numPr>
              <w:overflowPunct w:val="false"/>
              <w:ind w:left="0" w:hanging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 Pedale wireless multifunzione con comandi orizzontali</w:t>
            </w:r>
          </w:p>
        </w:tc>
        <w:tc>
          <w:tcPr>
            <w:tcW w:w="4253" w:type="dxa"/>
            <w:tcBorders/>
            <w:shd w:fill="auto" w:val="clear"/>
          </w:tcPr>
          <w:p>
            <w:pPr>
              <w:pStyle w:val="Rientrocorpodeltesto21"/>
              <w:tabs>
                <w:tab w:val="clear" w:pos="-360"/>
                <w:tab w:val="left" w:pos="284" w:leader="none"/>
              </w:tabs>
              <w:ind w:lef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4359" w:type="dxa"/>
            <w:tcBorders/>
            <w:shd w:fill="auto" w:val="clear"/>
          </w:tcPr>
          <w:p>
            <w:pPr>
              <w:pStyle w:val="Rientrocorpodeltesto21"/>
              <w:numPr>
                <w:ilvl w:val="0"/>
                <w:numId w:val="0"/>
              </w:numPr>
              <w:overflowPunct w:val="false"/>
              <w:ind w:left="0" w:hanging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 Tilting del corpo ottico preferibilmente motorizzato, controllabile dal pedale e/o da comandi manuali sterili</w:t>
            </w:r>
          </w:p>
        </w:tc>
        <w:tc>
          <w:tcPr>
            <w:tcW w:w="4253" w:type="dxa"/>
            <w:tcBorders/>
            <w:shd w:fill="auto" w:val="clear"/>
          </w:tcPr>
          <w:p>
            <w:pPr>
              <w:pStyle w:val="Rientrocorpodeltesto21"/>
              <w:tabs>
                <w:tab w:val="clear" w:pos="-360"/>
                <w:tab w:val="left" w:pos="284" w:leader="none"/>
              </w:tabs>
              <w:ind w:left="284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4359" w:type="dxa"/>
            <w:tcBorders/>
            <w:shd w:fill="auto" w:val="clear"/>
          </w:tcPr>
          <w:p>
            <w:pPr>
              <w:pStyle w:val="Rientrocorpodeltesto21"/>
              <w:numPr>
                <w:ilvl w:val="0"/>
                <w:numId w:val="0"/>
              </w:numPr>
              <w:overflowPunct w:val="false"/>
              <w:ind w:left="0" w:hanging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 Fonte illuminazione LED preferibilmente integrata nel corpo ottico</w:t>
            </w:r>
          </w:p>
        </w:tc>
        <w:tc>
          <w:tcPr>
            <w:tcW w:w="4253" w:type="dxa"/>
            <w:tcBorders/>
            <w:shd w:fill="auto" w:val="clear"/>
          </w:tcPr>
          <w:p>
            <w:pPr>
              <w:pStyle w:val="Rientrocorpodeltesto21"/>
              <w:tabs>
                <w:tab w:val="clear" w:pos="-360"/>
                <w:tab w:val="left" w:pos="284" w:leader="none"/>
              </w:tabs>
              <w:ind w:left="284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4359" w:type="dxa"/>
            <w:tcBorders/>
            <w:shd w:fill="auto" w:val="clear"/>
          </w:tcPr>
          <w:p>
            <w:pPr>
              <w:pStyle w:val="Rientrocorpodeltesto21"/>
              <w:numPr>
                <w:ilvl w:val="0"/>
                <w:numId w:val="0"/>
              </w:numPr>
              <w:overflowPunct w:val="false"/>
              <w:ind w:left="0" w:hanging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 Possibilità di upgrade futuro con OCT e sistema 3D e sistema di guida per allineamento IOL Toriche</w:t>
            </w:r>
          </w:p>
        </w:tc>
        <w:tc>
          <w:tcPr>
            <w:tcW w:w="4253" w:type="dxa"/>
            <w:tcBorders/>
            <w:shd w:fill="auto" w:val="clear"/>
          </w:tcPr>
          <w:p>
            <w:pPr>
              <w:pStyle w:val="Rientrocorpodeltesto21"/>
              <w:tabs>
                <w:tab w:val="clear" w:pos="-360"/>
                <w:tab w:val="left" w:pos="284" w:leader="none"/>
              </w:tabs>
              <w:ind w:left="284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Rientrocorpodeltesto21"/>
        <w:tabs>
          <w:tab w:val="clear" w:pos="-360"/>
          <w:tab w:val="clear" w:pos="284"/>
        </w:tabs>
        <w:ind w:left="0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Rientrocorpodeltesto21"/>
        <w:tabs>
          <w:tab w:val="clear" w:pos="-360"/>
          <w:tab w:val="clear" w:pos="284"/>
        </w:tabs>
        <w:ind w:left="0" w:hanging="0"/>
        <w:rPr/>
      </w:pPr>
      <w:r>
        <w:rPr>
          <w:sz w:val="22"/>
          <w:szCs w:val="22"/>
          <w:u w:val="single"/>
        </w:rPr>
        <w:t>Caratteristiche preferenzial</w:t>
      </w:r>
      <w:r>
        <w:rPr>
          <w:sz w:val="22"/>
          <w:szCs w:val="22"/>
          <w:u w:val="single"/>
        </w:rPr>
        <w:t>I</w:t>
      </w:r>
      <w:r>
        <w:rPr>
          <w:sz w:val="22"/>
          <w:szCs w:val="22"/>
        </w:rPr>
        <w:t>:</w:t>
      </w:r>
    </w:p>
    <w:p>
      <w:pPr>
        <w:pStyle w:val="Rientrocorpodeltesto21"/>
        <w:tabs>
          <w:tab w:val="clear" w:pos="-360"/>
          <w:tab w:val="clear" w:pos="284"/>
        </w:tabs>
        <w:ind w:left="284" w:hanging="0"/>
        <w:rPr>
          <w:color w:val="000000"/>
          <w:sz w:val="20"/>
        </w:rPr>
      </w:pPr>
      <w:r>
        <w:rPr>
          <w:color w:val="000000"/>
          <w:sz w:val="20"/>
        </w:rPr>
      </w:r>
    </w:p>
    <w:tbl>
      <w:tblPr>
        <w:tblW w:w="8614" w:type="dxa"/>
        <w:jc w:val="left"/>
        <w:tblInd w:w="28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360"/>
        <w:gridCol w:w="4253"/>
      </w:tblGrid>
      <w:tr>
        <w:trPr/>
        <w:tc>
          <w:tcPr>
            <w:tcW w:w="4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Rientrocorpodeltesto21"/>
              <w:numPr>
                <w:ilvl w:val="0"/>
                <w:numId w:val="0"/>
              </w:numPr>
              <w:overflowPunct w:val="false"/>
              <w:ind w:hanging="0"/>
              <w:jc w:val="both"/>
              <w:rPr/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it-IT" w:eastAsia="it-IT" w:bidi="ar-SA"/>
              </w:rPr>
              <w:t>Microtelecamera con comando di regolazione indipendente del fuoco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nutotabella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36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Rientrocorpodeltesto21"/>
              <w:numPr>
                <w:ilvl w:val="0"/>
                <w:numId w:val="0"/>
              </w:numPr>
              <w:overflowPunct w:val="false"/>
              <w:ind w:hanging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it-IT" w:eastAsia="it-IT" w:bidi="ar-SA"/>
              </w:rPr>
              <w:t>Possibilità di scelta delle varie temperature di colore della luce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nutotabella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36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Rientrocorpodeltesto21"/>
              <w:numPr>
                <w:ilvl w:val="0"/>
                <w:numId w:val="0"/>
              </w:numPr>
              <w:overflowPunct w:val="false"/>
              <w:ind w:hanging="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it-IT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it-IT" w:eastAsia="it-IT" w:bidi="ar-SA"/>
              </w:rPr>
              <w:t>Possibilità di utilizzo degli accessori per la chirurgia vitreo retinica già esistenti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nutotabella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Rientrocorpodeltesto21"/>
        <w:tabs>
          <w:tab w:val="clear" w:pos="-360"/>
          <w:tab w:val="clear" w:pos="284"/>
        </w:tabs>
        <w:overflowPunct w:val="false"/>
        <w:ind w:left="284" w:hanging="0"/>
        <w:rPr>
          <w:color w:val="000000"/>
          <w:sz w:val="20"/>
        </w:rPr>
      </w:pPr>
      <w:r>
        <w:rPr>
          <w:color w:val="000000"/>
          <w:sz w:val="20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417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lang w:val="it-IT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2783f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basedOn w:val="DefaultParagraphFont"/>
    <w:link w:val="Titolo11"/>
    <w:uiPriority w:val="99"/>
    <w:qFormat/>
    <w:locked/>
    <w:rsid w:val="0092783f"/>
    <w:rPr>
      <w:rFonts w:ascii="Arial" w:hAnsi="Arial" w:eastAsia="Times New Roman"/>
      <w:b/>
      <w:bCs/>
      <w:color w:val="365F91"/>
      <w:sz w:val="28"/>
      <w:szCs w:val="28"/>
      <w:lang w:eastAsia="it-IT"/>
    </w:rPr>
  </w:style>
  <w:style w:type="character" w:styleId="ListLabel1">
    <w:name w:val="ListLabel 1"/>
    <w:qFormat/>
    <w:rPr>
      <w:rFonts w:cs="Times New Roman"/>
      <w:b/>
      <w:sz w:val="22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Titolo11" w:customStyle="1">
    <w:name w:val="Titolo 11"/>
    <w:basedOn w:val="Normal"/>
    <w:next w:val="Normal"/>
    <w:link w:val="Titolo1Carattere"/>
    <w:uiPriority w:val="99"/>
    <w:qFormat/>
    <w:locked/>
    <w:rsid w:val="0092783f"/>
    <w:pPr>
      <w:keepNext w:val="true"/>
      <w:keepLines/>
      <w:spacing w:before="480" w:after="0"/>
      <w:outlineLvl w:val="0"/>
    </w:pPr>
    <w:rPr>
      <w:rFonts w:ascii="Arial" w:hAnsi="Arial"/>
      <w:b/>
      <w:bCs/>
      <w:color w:val="365F91"/>
      <w:sz w:val="28"/>
      <w:szCs w:val="28"/>
    </w:rPr>
  </w:style>
  <w:style w:type="paragraph" w:styleId="Rientrocorpodeltesto21" w:customStyle="1">
    <w:name w:val="Rientro corpo del testo 21"/>
    <w:basedOn w:val="Normal"/>
    <w:uiPriority w:val="99"/>
    <w:qFormat/>
    <w:rsid w:val="0092783f"/>
    <w:pPr>
      <w:tabs>
        <w:tab w:val="clear" w:pos="708"/>
        <w:tab w:val="left" w:pos="-360" w:leader="none"/>
        <w:tab w:val="left" w:pos="284" w:leader="none"/>
      </w:tabs>
      <w:ind w:left="284" w:hanging="284"/>
      <w:jc w:val="both"/>
      <w:textAlignment w:val="baseline"/>
    </w:pPr>
    <w:rPr>
      <w:szCs w:val="20"/>
    </w:rPr>
  </w:style>
  <w:style w:type="paragraph" w:styleId="Contenutotabella">
    <w:name w:val="Contenuto tabella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92783f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LibreOffice/6.2.8.2$Windows_X86_64 LibreOffice_project/f82ddfca21ebc1e222a662a32b25c0c9d20169ee</Application>
  <Pages>1</Pages>
  <Words>229</Words>
  <Characters>1449</Characters>
  <CharactersWithSpaces>1659</CharactersWithSpaces>
  <Paragraphs>22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2021-01-12T14:32:00Z</dcterms:created>
  <dc:creator>eliso.temperato</dc:creator>
  <dc:description/>
  <dc:language>it-IT</dc:language>
  <cp:lastModifiedBy/>
  <dcterms:modified xsi:type="dcterms:W3CDTF">2021-01-13T13:49:24Z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